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A00CD6">
        <w:rPr>
          <w:rFonts w:ascii="Calibri" w:hAnsi="Calibri" w:cs="Calibri"/>
          <w:b/>
          <w:sz w:val="22"/>
          <w:szCs w:val="22"/>
        </w:rPr>
        <w:t>564513/2012</w:t>
      </w:r>
    </w:p>
    <w:p w:rsidR="00CB770A" w:rsidRPr="00EC1932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Re</w:t>
      </w:r>
      <w:r w:rsidR="00085BF0" w:rsidRPr="00EC1932">
        <w:rPr>
          <w:rFonts w:ascii="Calibri" w:hAnsi="Calibri" w:cs="Calibri"/>
          <w:b/>
          <w:sz w:val="22"/>
          <w:szCs w:val="22"/>
        </w:rPr>
        <w:t xml:space="preserve">corrente </w:t>
      </w:r>
      <w:r w:rsidR="005A2307" w:rsidRPr="00EC1932">
        <w:rPr>
          <w:rFonts w:ascii="Calibri" w:hAnsi="Calibri" w:cs="Calibri"/>
          <w:b/>
          <w:sz w:val="22"/>
          <w:szCs w:val="22"/>
        </w:rPr>
        <w:t xml:space="preserve">– </w:t>
      </w:r>
      <w:r w:rsidR="00A00CD6">
        <w:rPr>
          <w:rFonts w:ascii="Calibri" w:hAnsi="Calibri" w:cs="Calibri"/>
          <w:b/>
          <w:sz w:val="22"/>
          <w:szCs w:val="22"/>
        </w:rPr>
        <w:t>Cláudio Alves Fonseca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A00CD6">
        <w:rPr>
          <w:rFonts w:ascii="Calibri" w:hAnsi="Calibri" w:cs="Calibri"/>
          <w:sz w:val="22"/>
          <w:szCs w:val="22"/>
        </w:rPr>
        <w:t xml:space="preserve"> 135466, de 17/08/2012</w:t>
      </w:r>
    </w:p>
    <w:p w:rsidR="00CD2D2D" w:rsidRPr="00EC1932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Relator</w:t>
      </w:r>
      <w:r w:rsidR="00EC1932" w:rsidRPr="00EC1932">
        <w:rPr>
          <w:rFonts w:ascii="Calibri" w:hAnsi="Calibri" w:cs="Calibri"/>
          <w:sz w:val="22"/>
          <w:szCs w:val="22"/>
        </w:rPr>
        <w:t xml:space="preserve"> –</w:t>
      </w:r>
      <w:r w:rsidR="005703FF">
        <w:rPr>
          <w:rFonts w:ascii="Calibri" w:hAnsi="Calibri" w:cs="Calibri"/>
          <w:sz w:val="22"/>
          <w:szCs w:val="22"/>
        </w:rPr>
        <w:t xml:space="preserve"> </w:t>
      </w:r>
      <w:r w:rsidR="00A00CD6">
        <w:rPr>
          <w:rFonts w:ascii="Calibri" w:hAnsi="Calibri" w:cs="Calibri"/>
          <w:sz w:val="22"/>
          <w:szCs w:val="22"/>
        </w:rPr>
        <w:t>Flávio Lima de Oliveira - SINFRA</w:t>
      </w:r>
    </w:p>
    <w:p w:rsidR="00CB770A" w:rsidRPr="00EC193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2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2027D6">
        <w:rPr>
          <w:rFonts w:ascii="Calibri" w:hAnsi="Calibri" w:cs="Calibri"/>
          <w:b/>
          <w:sz w:val="22"/>
          <w:szCs w:val="22"/>
        </w:rPr>
        <w:t>91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1E1DFA" w:rsidRDefault="001E1DFA" w:rsidP="00A00C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</w:t>
      </w:r>
      <w:r w:rsidR="00CD2D2D">
        <w:rPr>
          <w:rFonts w:ascii="Calibri" w:hAnsi="Calibri" w:cs="Calibri"/>
          <w:sz w:val="22"/>
          <w:szCs w:val="22"/>
        </w:rPr>
        <w:t xml:space="preserve"> </w:t>
      </w:r>
      <w:r w:rsidR="00A00CD6">
        <w:rPr>
          <w:rFonts w:ascii="Calibri" w:hAnsi="Calibri" w:cs="Calibri"/>
          <w:sz w:val="22"/>
          <w:szCs w:val="22"/>
        </w:rPr>
        <w:t xml:space="preserve">135466, de 17/08/2012. Por desmatar 0,5 hectares fora de reserva legal sem autorização do órgão ambiental competente, conforme Auto de Inspeção n. 128538. </w:t>
      </w:r>
      <w:r w:rsidR="00A00CD6" w:rsidRPr="00A00CD6">
        <w:rPr>
          <w:rFonts w:ascii="Calibri" w:hAnsi="Calibri" w:cs="Calibri"/>
          <w:sz w:val="22"/>
          <w:szCs w:val="22"/>
        </w:rPr>
        <w:t>Decisão Administrativa n. 366/SPA/SEMA/2010, pela homologação do Auto de Infração n. 135466, arbitrando multa de R$ 25.000,00 (vinte e cinco mil reais), com fulcro no artigo 80 do Decreto Federal 6.514/08. Requer o recorrente que seja julgada improcedente a lavratura do Auto de Infração n. 135466, a fim de excluir a imposição da multa arbitrada pela SEMA/MT. Assim devida a prorrogação do prazo para inscrição no SICAR, até o dia 31/05/2018, Decreto Presidencial n. 925/17, este se compromete a juntar o CAR – Cadastro Ambiental Rural, dentro do prazo prorrogado e juntando ao processo.</w:t>
      </w:r>
      <w:r w:rsidR="00DD427C">
        <w:rPr>
          <w:rFonts w:ascii="Calibri" w:hAnsi="Calibri" w:cs="Calibri"/>
          <w:sz w:val="22"/>
          <w:szCs w:val="22"/>
        </w:rPr>
        <w:t xml:space="preserve"> Recurso provido. </w:t>
      </w:r>
    </w:p>
    <w:p w:rsidR="005703FF" w:rsidRDefault="005703FF" w:rsidP="0056305C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00CD6" w:rsidRPr="00A00CD6" w:rsidRDefault="00B70EB0" w:rsidP="00A00CD6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0B3FF3" w:rsidRPr="00EC193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713878" w:rsidRPr="00EC1932">
        <w:rPr>
          <w:rFonts w:ascii="Calibri" w:hAnsi="Calibri" w:cs="Calibri"/>
          <w:sz w:val="22"/>
          <w:szCs w:val="22"/>
        </w:rPr>
        <w:t xml:space="preserve">por </w:t>
      </w:r>
      <w:r w:rsidR="00A00CD6">
        <w:rPr>
          <w:rFonts w:ascii="Calibri" w:hAnsi="Calibri" w:cs="Calibri"/>
          <w:sz w:val="22"/>
          <w:szCs w:val="22"/>
        </w:rPr>
        <w:t xml:space="preserve">unanimidade, acolher o voto do relator, pois da </w:t>
      </w:r>
      <w:r w:rsidR="00A00CD6" w:rsidRPr="00A00CD6">
        <w:rPr>
          <w:rFonts w:ascii="Calibri" w:hAnsi="Calibri" w:cs="Calibri"/>
          <w:sz w:val="22"/>
          <w:szCs w:val="22"/>
        </w:rPr>
        <w:t xml:space="preserve">análise do recurso, de início podemos verificar, preliminarmente, que entre a juntada do Aviso de Recebimento (AR), datado de 30/11/12, ou até mesmo sua postagem como determina a norma regulamentar, datada de 05/11/12, (ambos de fls. 06) e a data da decisão condenatória recorrível (Decisão Administrativa n. 366/SPA/SEMA/2018, datada de 20/02/2018 (fls. 23/24), houve a caracterização do instituto da prescrição de pretensão punitiva, já que a Administração Pública permaneceu inerte por mais de 5 (cinco) anos, não tendo praticado nesse </w:t>
      </w:r>
      <w:r w:rsidR="00A00CD6" w:rsidRPr="00A00CD6">
        <w:rPr>
          <w:rFonts w:ascii="Calibri" w:hAnsi="Calibri" w:cs="Calibri"/>
          <w:i/>
          <w:sz w:val="22"/>
          <w:szCs w:val="22"/>
        </w:rPr>
        <w:t xml:space="preserve">interim </w:t>
      </w:r>
      <w:r w:rsidR="00A00CD6" w:rsidRPr="00A00CD6">
        <w:rPr>
          <w:rFonts w:ascii="Calibri" w:hAnsi="Calibri" w:cs="Calibri"/>
          <w:sz w:val="22"/>
          <w:szCs w:val="22"/>
        </w:rPr>
        <w:t>qualquer ato inequívoco que importasse a apuração do fato. Diante dos fatos e fundamentos ora apresentados conhecemos do recurso administrativo apresentado e preliminarmente reconhecemos a ocorrência o instituto da prescrição quinquenal, com previsão nos artigos 21 e 22 do Decreto Federal 6.514/2008</w:t>
      </w:r>
      <w:r w:rsidR="00DD427C">
        <w:rPr>
          <w:rFonts w:ascii="Calibri" w:hAnsi="Calibri" w:cs="Calibri"/>
          <w:sz w:val="22"/>
          <w:szCs w:val="22"/>
        </w:rPr>
        <w:t>.</w:t>
      </w:r>
    </w:p>
    <w:p w:rsidR="00151A1E" w:rsidRPr="00EC1932" w:rsidRDefault="00151A1E" w:rsidP="00CD2D2D">
      <w:pPr>
        <w:jc w:val="both"/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FAMATO</w:t>
      </w:r>
    </w:p>
    <w:p w:rsidR="002812FA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EC1932">
        <w:rPr>
          <w:rFonts w:ascii="Calibri" w:hAnsi="Calibri" w:cs="Calibri"/>
          <w:sz w:val="22"/>
          <w:szCs w:val="22"/>
        </w:rPr>
        <w:t>Representane</w:t>
      </w:r>
      <w:proofErr w:type="spellEnd"/>
      <w:r w:rsidRPr="00EC193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FEPESC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do IFPDS</w:t>
      </w:r>
    </w:p>
    <w:p w:rsidR="00CD2D2D" w:rsidRDefault="00CD2D2D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D2D2D" w:rsidRPr="00CD2D2D" w:rsidRDefault="00CD2D2D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0B3FF3" w:rsidRPr="00EC193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>Presidente da 2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p w:rsidR="00A00CD6" w:rsidRDefault="00A00CD6" w:rsidP="00482814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A00CD6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C249B"/>
    <w:rsid w:val="001D6390"/>
    <w:rsid w:val="001E1DFA"/>
    <w:rsid w:val="001F7961"/>
    <w:rsid w:val="002027D6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3E2E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7100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2020-10-10T19:10:00Z</dcterms:created>
  <dcterms:modified xsi:type="dcterms:W3CDTF">2020-10-10T19:21:00Z</dcterms:modified>
</cp:coreProperties>
</file>